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A5" w:rsidRDefault="004750E7">
      <w:pPr>
        <w:pStyle w:val="berschrift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7575" cy="306070"/>
            <wp:effectExtent l="0" t="0" r="0" b="0"/>
            <wp:wrapSquare wrapText="bothSides"/>
            <wp:docPr id="7" name="Bild 7" descr="CAU-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U-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1240" cy="259715"/>
                <wp:effectExtent l="13970" t="9525" r="12065" b="6985"/>
                <wp:wrapSquare wrapText="larges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A5" w:rsidRDefault="00C26DA5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val="de-DE"/>
                              </w:rPr>
                            </w:pPr>
                          </w:p>
                          <w:p w:rsidR="00C26DA5" w:rsidRDefault="00C26DA5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85pt;margin-top:-9pt;width:381.2pt;height:20.4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" strokeweight=".5pt">
                <v:fill opacity="0"/>
                <v:textbox inset="0,1pt,0,1pt">
                  <w:txbxContent>
                    <w:p w:rsidR="00C26DA5" w:rsidRDefault="00C26DA5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val="de-DE"/>
                        </w:rPr>
                      </w:pPr>
                    </w:p>
                    <w:p w:rsidR="00C26DA5" w:rsidRDefault="00C26DA5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26DA5" w:rsidRDefault="00C26DA5">
      <w:pPr>
        <w:pStyle w:val="berschrift1"/>
      </w:pPr>
    </w:p>
    <w:p w:rsidR="00C26DA5" w:rsidRDefault="004750E7">
      <w:pPr>
        <w:pStyle w:val="berschrift1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965" cy="327660"/>
            <wp:effectExtent l="0" t="0" r="63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DA5">
        <w:t>DECKBLATT PRÜFUNGSLEISTUNG</w:t>
      </w:r>
    </w:p>
    <w:p w:rsidR="00C26DA5" w:rsidRDefault="00C26DA5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C26DA5" w:rsidRDefault="00C26DA5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PERSÖNLICHE ANGABEN: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Chemie oder Wirtschaftschemie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Biochemie/Molekularbiologie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bCs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bCs/>
          <w:sz w:val="20"/>
          <w:szCs w:val="20"/>
        </w:rPr>
        <w:t>Chemie oder Wirtschaftschemie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sz w:val="20"/>
          <w:szCs w:val="20"/>
        </w:rPr>
        <w:t>Biochemie/Molekularbiologie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LA Gymnasium/ Realschule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Zweifach-Bachelor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Anders: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……..……………………………………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ZUR PRÜFUNG: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Lehrveranstaltungsbezeichnung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Prüfungsfach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Organische Chemie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 der Prüfungsleistung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Klausur 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Prof. Herges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16.02.2011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0311</w:t>
      </w:r>
    </w:p>
    <w:p w:rsidR="00C26DA5" w:rsidRDefault="00C26DA5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Wiederholungsprüfung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2. Wiederholungsprüfung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ERKLÄRUNG ZUR PRÜFUNGSFÄHIGKEIT: </w:t>
      </w:r>
      <w:r>
        <w:rPr>
          <w:rFonts w:ascii="Arial" w:hAnsi="Arial" w:cs="Arial"/>
          <w:sz w:val="20"/>
          <w:szCs w:val="20"/>
        </w:rPr>
        <w:t>Hiermit erkläre ich gemäß §9 Abs. 6 PVO,</w:t>
      </w:r>
      <w:r>
        <w:rPr>
          <w:rFonts w:ascii="Arial" w:hAnsi="Arial" w:cs="Arial"/>
          <w:sz w:val="20"/>
          <w:szCs w:val="20"/>
        </w:rPr>
        <w:br/>
        <w:t>dass ich prüfungsfähig bin:</w:t>
      </w:r>
    </w:p>
    <w:p w:rsidR="00C26DA5" w:rsidRDefault="00C26DA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………………………………Unterschrift:………………………………………………… </w:t>
      </w:r>
    </w:p>
    <w:p w:rsidR="00C26DA5" w:rsidRDefault="00C26DA5">
      <w:pPr>
        <w:pStyle w:val="StandardWeb"/>
        <w:spacing w:before="0"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NICHT MIT BLEISTIFT</w:t>
      </w:r>
      <w:r>
        <w:rPr>
          <w:rFonts w:ascii="Arial" w:hAnsi="Arial" w:cs="Arial"/>
          <w:i/>
          <w:sz w:val="20"/>
          <w:szCs w:val="20"/>
        </w:rPr>
        <w:t xml:space="preserve"> ODER ROTSTIFT SCHREIBEN!!</w:t>
      </w:r>
    </w:p>
    <w:p w:rsidR="00C26DA5" w:rsidRDefault="00C26DA5">
      <w:pPr>
        <w:pStyle w:val="StandardWeb"/>
        <w:snapToGrid w:val="0"/>
        <w:spacing w:before="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520"/>
        <w:gridCol w:w="200"/>
        <w:gridCol w:w="320"/>
        <w:gridCol w:w="401"/>
        <w:gridCol w:w="119"/>
        <w:gridCol w:w="520"/>
        <w:gridCol w:w="82"/>
        <w:gridCol w:w="438"/>
        <w:gridCol w:w="285"/>
        <w:gridCol w:w="235"/>
        <w:gridCol w:w="487"/>
        <w:gridCol w:w="33"/>
        <w:gridCol w:w="520"/>
        <w:gridCol w:w="170"/>
        <w:gridCol w:w="350"/>
        <w:gridCol w:w="372"/>
        <w:gridCol w:w="148"/>
        <w:gridCol w:w="520"/>
        <w:gridCol w:w="55"/>
        <w:gridCol w:w="465"/>
        <w:gridCol w:w="257"/>
        <w:gridCol w:w="263"/>
        <w:gridCol w:w="460"/>
        <w:gridCol w:w="60"/>
        <w:gridCol w:w="663"/>
      </w:tblGrid>
      <w:tr w:rsidR="00C26DA5">
        <w:tblPrEx>
          <w:tblCellMar>
            <w:top w:w="0" w:type="dxa"/>
            <w:bottom w:w="0" w:type="dxa"/>
          </w:tblCellMar>
        </w:tblPrEx>
        <w:tc>
          <w:tcPr>
            <w:tcW w:w="1269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1" w:type="dxa"/>
            <w:gridSpan w:val="3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3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2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3" w:type="dxa"/>
            <w:gridSpan w:val="3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2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3" w:type="dxa"/>
            <w:gridSpan w:val="3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2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3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23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C26DA5">
        <w:tblPrEx>
          <w:tblCellMar>
            <w:top w:w="0" w:type="dxa"/>
            <w:bottom w:w="0" w:type="dxa"/>
          </w:tblCellMar>
        </w:tblPrEx>
        <w:tc>
          <w:tcPr>
            <w:tcW w:w="1269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sym w:font="Symbol" w:char="F0B3"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91,5</w:t>
            </w:r>
          </w:p>
        </w:tc>
        <w:tc>
          <w:tcPr>
            <w:tcW w:w="721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1" w:type="dxa"/>
            <w:gridSpan w:val="3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3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2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3" w:type="dxa"/>
            <w:gridSpan w:val="3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2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3" w:type="dxa"/>
            <w:gridSpan w:val="3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2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3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23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C26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13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</w:t>
            </w:r>
          </w:p>
        </w:tc>
        <w:tc>
          <w:tcPr>
            <w:tcW w:w="663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Symbol" w:hAnsi="Symbol" w:cs="Arial"/>
                <w:b/>
                <w:sz w:val="16"/>
                <w:szCs w:val="20"/>
              </w:rPr>
            </w:pPr>
            <w:r>
              <w:rPr>
                <w:rFonts w:ascii="Symbol" w:hAnsi="Symbol" w:cs="Arial"/>
                <w:b/>
                <w:sz w:val="16"/>
                <w:szCs w:val="20"/>
              </w:rPr>
              <w:t></w:t>
            </w:r>
          </w:p>
        </w:tc>
      </w:tr>
      <w:tr w:rsidR="00C26DA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69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520" w:type="dxa"/>
            <w:gridSpan w:val="2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  <w:tc>
          <w:tcPr>
            <w:tcW w:w="663" w:type="dxa"/>
            <w:vAlign w:val="bottom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C26DA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69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520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26DA5" w:rsidRDefault="00C26DA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C26DA5" w:rsidRDefault="00C26DA5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C26DA5" w:rsidRDefault="00C26DA5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..………………………….</w:t>
      </w:r>
    </w:p>
    <w:p w:rsidR="00C26DA5" w:rsidRDefault="00C26DA5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Prüfer/in (eventuell Zweitkorrektor/in bei Wiederholungspr.)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C26DA5" w:rsidRDefault="00C26DA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C26DA5" w:rsidRDefault="00C26D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1. Folgende Edukte werden zunächst mit einem Äquivalent NBS radikalisch bromiert und anschließend wird mit einer Base HBr eliminiert. Schreiben Sie die Produkte der Reaktionen auf.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</w:pPr>
      <w:r>
        <w:object w:dxaOrig="10051" w:dyaOrig="8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9.75pt" o:ole="">
            <v:imagedata r:id="rId7" o:title=""/>
          </v:shape>
          <o:OLEObject Type="Embed" ProgID="ChemDraw.Document.6.0" ShapeID="_x0000_i1025" DrawAspect="Content" ObjectID="_1458726679" r:id="rId8"/>
        </w:object>
      </w: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  <w:lang w:eastAsia="de-DE"/>
        </w:rPr>
      </w:pPr>
      <w:r>
        <w:rPr>
          <w:rFonts w:ascii="Arial" w:hAnsi="Arial" w:cs="Arial"/>
          <w:sz w:val="32"/>
          <w:lang w:eastAsia="de-DE"/>
        </w:rPr>
        <w:t>/ 10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2. Beim Edman-Abbau wird sukzessiv eine Aminosäure nach der anderen vom N</w:t>
      </w:r>
      <w:r>
        <w:rPr>
          <w:rFonts w:ascii="Arial" w:hAnsi="Arial" w:cs="Arial"/>
          <w:lang w:eastAsia="de-DE"/>
        </w:rPr>
        <w:noBreakHyphen/>
        <w:t>terminalen Ende eines Protein abgespalten.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Tipp:</w:t>
      </w:r>
      <w:r>
        <w:rPr>
          <w:rFonts w:ascii="Arial" w:hAnsi="Arial" w:cs="Arial"/>
          <w:lang w:eastAsia="de-DE"/>
        </w:rPr>
        <w:tab/>
        <w:t>1. Isothiocyanate reagieren wie Isocyanate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  <w:t>2. Nucleophile reagieren mit Elektrophilen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  <w:t>3. Es bilden sich 5- und 6-Ringe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  <w:lang w:eastAsia="de-DE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</w:pPr>
      <w:r>
        <w:object w:dxaOrig="10121" w:dyaOrig="4046">
          <v:shape id="_x0000_i1026" type="#_x0000_t75" style="width:453.75pt;height:181.5pt" o:ole="">
            <v:imagedata r:id="rId9" o:title=""/>
          </v:shape>
          <o:OLEObject Type="Embed" ProgID="ChemDraw.Document.6.0" ShapeID="_x0000_i1026" DrawAspect="Content" ObjectID="_1458726680" r:id="rId10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3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Formulieren Sie den Mechanismus der Swern-Oxidation am Beispiel von Cyclohexanol.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8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Mescalin ist ein Inhaltsstoff mexikanischer Kakteen und wurde vor allem in den 60’ern als halluzinogene Droge missbraucht. 1919 gelang Ernst Späth die erste Totalynthese: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97" w:dyaOrig="4620">
          <v:shape id="_x0000_i1027" type="#_x0000_t75" style="width:453pt;height:201.75pt" o:ole="">
            <v:imagedata r:id="rId11" o:title=""/>
          </v:shape>
          <o:OLEObject Type="Embed" ProgID="ChemDraw.Document.6.0" ShapeID="_x0000_i1027" DrawAspect="Content" ObjectID="_1458726681" r:id="rId12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4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Vervollständigen Sie folgende Reaktionsgleichung.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55" w:dyaOrig="6390">
          <v:shape id="_x0000_i1028" type="#_x0000_t75" style="width:453pt;height:282.75pt" o:ole="">
            <v:imagedata r:id="rId13" o:title=""/>
          </v:shape>
          <o:OLEObject Type="Embed" ProgID="ChemDraw.Document.6.0" ShapeID="_x0000_i1028" DrawAspect="Content" ObjectID="_1458726682" r:id="rId14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4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Achten Sie bei den folgenden nucleophilen Substitutionen auf die Stereochemie!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193" w:dyaOrig="5178">
          <v:shape id="_x0000_i1029" type="#_x0000_t75" style="width:453.75pt;height:230.25pt" o:ole="">
            <v:imagedata r:id="rId15" o:title=""/>
          </v:shape>
          <o:OLEObject Type="Embed" ProgID="ChemDraw.Document.6.0" ShapeID="_x0000_i1029" DrawAspect="Content" ObjectID="_1458726683" r:id="rId16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4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Je nachdem, ob es sich bei der elektrophilen Addition an Doppelbindungen um eine Oxymercurierung oder eine saure Hydrolyse handelt, kann es zu unterschiedlichen Produkten kommen.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609" w:dyaOrig="6481">
          <v:shape id="_x0000_i1030" type="#_x0000_t75" style="width:453.75pt;height:306pt" o:ole="">
            <v:imagedata r:id="rId17" o:title=""/>
          </v:shape>
          <o:OLEObject Type="Embed" ProgID="ChemDraw.Document.6.0" ShapeID="_x0000_i1030" DrawAspect="Content" ObjectID="_1458726684" r:id="rId18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5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Vervollständigen Sie die Reaktionen.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</w:pPr>
      <w:r>
        <w:object w:dxaOrig="10470" w:dyaOrig="8637">
          <v:shape id="_x0000_i1031" type="#_x0000_t75" style="width:453pt;height:374.25pt" o:ole="">
            <v:imagedata r:id="rId19" o:title=""/>
          </v:shape>
          <o:OLEObject Type="Embed" ProgID="ChemDraw.Document.6.0" ShapeID="_x0000_i1031" DrawAspect="Content" ObjectID="_1458726685" r:id="rId20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Formulieren Sie den Mechanismus der Ozonolyse.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12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Das Produkt der folgenden Synthese ist eine Vorstufe zur Crysanthemsäure, deren Derivate als Insektizide verwendet werden.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938" w:dyaOrig="6855">
          <v:shape id="_x0000_i1032" type="#_x0000_t75" style="width:453pt;height:312.75pt" o:ole="">
            <v:imagedata r:id="rId21" o:title=""/>
          </v:shape>
          <o:OLEObject Type="Embed" ProgID="ChemDraw.Document.6.0" ShapeID="_x0000_i1032" DrawAspect="Content" ObjectID="_1458726686" r:id="rId22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Wie stellt man die beiden Ausgangssubstanzen her?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790" w:dyaOrig="4275">
          <v:shape id="_x0000_i1033" type="#_x0000_t75" style="width:453pt;height:198pt" o:ole="">
            <v:imagedata r:id="rId23" o:title=""/>
          </v:shape>
          <o:OLEObject Type="Embed" ProgID="ChemDraw.Document.6.0" ShapeID="_x0000_i1033" DrawAspect="Content" ObjectID="_1458726687" r:id="rId24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9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Die Synthese des Antibiotikums Ciprofloxacin, ein Gyrasehemmer, umfasst in den letzten beiden Schritten zwei nucleophile aromatische Substitutionen.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90" w:dyaOrig="5805">
          <v:shape id="_x0000_i1034" type="#_x0000_t75" style="width:453pt;height:255.75pt" o:ole="">
            <v:imagedata r:id="rId25" o:title=""/>
          </v:shape>
          <o:OLEObject Type="Embed" ProgID="ChemDraw.Document.6.0" ShapeID="_x0000_i1034" DrawAspect="Content" ObjectID="_1458726688" r:id="rId26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Vervollständigen Sie weiterhin folgende elektrophile aromatische Substitutionen.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91" w:dyaOrig="7756">
          <v:shape id="_x0000_i1035" type="#_x0000_t75" style="width:453pt;height:366.75pt" o:ole="">
            <v:imagedata r:id="rId27" o:title=""/>
          </v:shape>
          <o:OLEObject Type="Embed" ProgID="ChemDraw.Document.6.0" ShapeID="_x0000_i1035" DrawAspect="Content" ObjectID="_1458726689" r:id="rId28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8971" w:dyaOrig="4065">
          <v:shape id="_x0000_i1036" type="#_x0000_t75" style="width:448.5pt;height:203.25pt" o:ole="">
            <v:imagedata r:id="rId29" o:title=""/>
          </v:shape>
          <o:OLEObject Type="Embed" ProgID="ChemDraw.Document.6.0" ShapeID="_x0000_i1036" DrawAspect="Content" ObjectID="_1458726690" r:id="rId30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10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Ergänzen Sie die folgenden Reaktionsgleichungen. Schlüsselreaktionen sind jeweils Umlagerungen.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049" w:dyaOrig="2776">
          <v:shape id="_x0000_i1037" type="#_x0000_t75" style="width:453pt;height:125.25pt" o:ole="">
            <v:imagedata r:id="rId31" o:title=""/>
          </v:shape>
          <o:OLEObject Type="Embed" ProgID="ChemDraw.Document.6.0" ShapeID="_x0000_i1037" DrawAspect="Content" ObjectID="_1458726691" r:id="rId32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18" w:dyaOrig="5742">
          <v:shape id="_x0000_i1038" type="#_x0000_t75" style="width:453pt;height:255pt" o:ole="">
            <v:imagedata r:id="rId33" o:title=""/>
          </v:shape>
          <o:OLEObject Type="Embed" ProgID="ChemDraw.Document.6.0" ShapeID="_x0000_i1038" DrawAspect="Content" ObjectID="_1458726692" r:id="rId34"/>
        </w:object>
      </w: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6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Vervollständigen Sie folgendes Reaktionsschema. Tipp: Jedes der zehn in der Vorlesung besprochenen Kapitel taucht einmal auf.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20" w:dyaOrig="12195">
          <v:shape id="_x0000_i1039" type="#_x0000_t75" style="width:453.75pt;height:536.25pt" o:ole="">
            <v:imagedata r:id="rId35" o:title=""/>
          </v:shape>
          <o:OLEObject Type="Embed" ProgID="ChemDraw.Document.6.0" ShapeID="_x0000_i1039" DrawAspect="Content" ObjectID="_1458726693" r:id="rId36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10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Polyurethane sind wichtige Kunststoffe für die Herstellung von Dämmstoffen.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801" w:dyaOrig="7372">
          <v:shape id="_x0000_i1040" type="#_x0000_t75" style="width:453pt;height:341.25pt" o:ole="">
            <v:imagedata r:id="rId37" o:title=""/>
          </v:shape>
          <o:OLEObject Type="Embed" ProgID="ChemDraw.Document.6.0" ShapeID="_x0000_i1040" DrawAspect="Content" ObjectID="_1458726694" r:id="rId38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analog wird Bisphenol A hergestellt: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082" w:dyaOrig="1821">
          <v:shape id="_x0000_i1041" type="#_x0000_t75" style="width:453pt;height:81.75pt" o:ole="">
            <v:imagedata r:id="rId39" o:title=""/>
          </v:shape>
          <o:OLEObject Type="Embed" ProgID="ChemDraw.Document.6.0" ShapeID="_x0000_i1041" DrawAspect="Content" ObjectID="_1458726695" r:id="rId40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beiden Komponenten MDI und Bisphenol A werden zum Polyurethan umgesetzt. Schreiben Sie die Strukturformel eines Urethans auf.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Bei der Herstellung von Bauschaum werden die beiden Komponenten getrennt geliefert und erst kurz vor der Anwendung gemischt. Beim Mischen entsteht neben dem Polymer auch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welches den Kunststoff aufschäumt. Um die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-Entwicklung hervorzurufen enthält eine der beiden Komponenten geringe Mengen Wasser.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Komponente enthält das Wasser?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Reaktion findet bei der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-Entwicklung statt?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431" w:dyaOrig="1230">
          <v:shape id="_x0000_i1042" type="#_x0000_t75" style="width:453pt;height:59.25pt" o:ole="">
            <v:imagedata r:id="rId41" o:title=""/>
          </v:shape>
          <o:OLEObject Type="Embed" ProgID="ChemDraw.Document.6.0" ShapeID="_x0000_i1042" DrawAspect="Content" ObjectID="_1458726696" r:id="rId42"/>
        </w:object>
      </w:r>
      <w:r>
        <w:rPr>
          <w:rFonts w:ascii="Arial" w:hAnsi="Arial" w:cs="Arial"/>
        </w:rPr>
        <w:t xml:space="preserve"> 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9 Punkte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Stellen Sie aus Acetylen und Methyliodid Pent-3-in-2-on her, ohne dabei weitere kohlenstoffhaltige Reagentien zu benutzen.</w: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</w:pPr>
      <w:r>
        <w:object w:dxaOrig="10049" w:dyaOrig="7846">
          <v:shape id="_x0000_i1043" type="#_x0000_t75" style="width:453pt;height:354pt" o:ole="">
            <v:imagedata r:id="rId43" o:title=""/>
          </v:shape>
          <o:OLEObject Type="Embed" ProgID="ChemDraw.Document.6.0" ShapeID="_x0000_i1043" DrawAspect="Content" ObjectID="_1458726697" r:id="rId44"/>
        </w:object>
      </w: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26DA5" w:rsidRDefault="00C26DA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/ 6 Punkte</w:t>
      </w:r>
    </w:p>
    <w:sectPr w:rsidR="00C26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7"/>
    <w:rsid w:val="004750E7"/>
    <w:rsid w:val="006F6C57"/>
    <w:rsid w:val="00C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semiHidden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semiHidden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n/a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Thore Wendler</dc:creator>
  <cp:lastModifiedBy>AK Herges - Grace</cp:lastModifiedBy>
  <cp:revision>2</cp:revision>
  <cp:lastPrinted>2011-02-13T21:10:00Z</cp:lastPrinted>
  <dcterms:created xsi:type="dcterms:W3CDTF">2014-04-11T11:05:00Z</dcterms:created>
  <dcterms:modified xsi:type="dcterms:W3CDTF">2014-04-11T11:05:00Z</dcterms:modified>
</cp:coreProperties>
</file>